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spacing w:line="580" w:lineRule="exact"/>
        <w:jc w:val="center"/>
        <w:rPr>
          <w:rFonts w:ascii="方正黑体_GBK" w:hAnsi="方正黑体_GBK" w:eastAsia="方正黑体_GBK" w:cs="方正黑体_GBK"/>
          <w:b/>
          <w:bCs/>
          <w:sz w:val="44"/>
          <w:szCs w:val="44"/>
        </w:rPr>
      </w:pPr>
    </w:p>
    <w:p>
      <w:pPr>
        <w:spacing w:line="580" w:lineRule="exact"/>
        <w:jc w:val="center"/>
        <w:rPr>
          <w:rFonts w:ascii="方正黑体_GBK" w:hAnsi="方正黑体_GBK" w:eastAsia="方正黑体_GBK" w:cs="方正黑体_GBK"/>
          <w:b/>
          <w:bCs/>
          <w:sz w:val="44"/>
          <w:szCs w:val="44"/>
        </w:rPr>
      </w:pPr>
      <w:r>
        <w:rPr>
          <w:rFonts w:hint="eastAsia" w:ascii="方正小标宋_GBK" w:hAnsi="方正小标宋_GBK" w:eastAsia="方正小标宋_GBK" w:cs="方正小标宋_GBK"/>
          <w:sz w:val="44"/>
          <w:szCs w:val="44"/>
        </w:rPr>
        <w:t>文创产品审核办法</w:t>
      </w:r>
    </w:p>
    <w:p>
      <w:pPr>
        <w:ind w:firstLine="480" w:firstLineChars="200"/>
        <w:rPr>
          <w:rFonts w:ascii="汉仪中宋简" w:eastAsia="汉仪中宋简"/>
          <w:sz w:val="24"/>
        </w:rPr>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成都金沙太阳神鸟文化发展有限责任公司（以下简称：公司）文创产品研发标准，加强文创产品新品管理，明确提案单位的产品审核流程，方便与优化各类产品配送及日常管理等工作，特制定本流程。提案单位需严格遵守，并服从统一管理。</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一、产品提案</w:t>
      </w:r>
    </w:p>
    <w:p>
      <w:pPr>
        <w:pStyle w:val="2"/>
        <w:spacing w:after="0"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设计提案：提案单位需要提供产品的完整且成体系的设计方案和产品的基本信息以及产品的基本陈列方式。产品信息包括（产品名称、产品分类、产品尺寸、产品设计图、产品包装图、产品材质、产品销售价格）</w:t>
      </w:r>
    </w:p>
    <w:p>
      <w:pPr>
        <w:pStyle w:val="2"/>
        <w:spacing w:after="0"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（二）市场分析：初步确定新品领域后，要研究该领域内消费者使用和购买此类产品的习惯，找准本企业新品的具体切入点。</w:t>
      </w:r>
    </w:p>
    <w:p>
      <w:pPr>
        <w:pStyle w:val="2"/>
        <w:spacing w:after="0"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（三）竞品分析：新品创意要分析市场上该品类领导品牌的优势和不足，从而塑造自己的优势。</w:t>
      </w:r>
    </w:p>
    <w:p>
      <w:pPr>
        <w:pStyle w:val="2"/>
        <w:spacing w:after="0"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（四）产品文化延续性：新品需要具有成都的文化精神和文化传承。</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二、产品设计审核</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产品设计审核主要会从以下几个方面进行审核：</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（一）产品是否符合国家的产业发展政策和有关的法令、法规；</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（二）产品是否符合现有的市场需要；符合大众审美；</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（三）产品是否正确体现成都博物馆文物文化，能对文化传播起到积极的推动作用。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（四）上新产品是否具有创新性、艺术性、功能性和系列延续性；</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（五）上新产品基本信息是否完整产品的信息包括产品信息包括（产品名称、产品分类、产品尺寸、产品设计图、产品包装图、产品材质、产品销售价格）。</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三、产品包装审核</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产品包装审核主要包括以下几个方面：</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（一）产品的包装须需符合国家相关法律规定；</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（二）产品包装结构应当合理；</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（三）产品包装呈现完整产品信息，主要包括：制造者或销售者的名称和地址、产品名称、使用方法、编号、贮藏应注意的事项、生产日期等文字内容；</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（四）产品包装上须体现条形码及成都博物馆LOGO，包装上字体统一用黑体字体；且产信息与最终量产产品完全相符。</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研发产品均为原创设计产品不涉及到版权纠纷问题，且成都博物馆与提案单位共同享有此产品的版权。提案单位提出的设计方案如有产生的任何实际侵权或者被任何第三方指控侵权，博物馆及执行单位概不负责并有权追究因此而带来相关法律责任和经济赔偿责任。</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四、产品打样标准</w:t>
      </w:r>
    </w:p>
    <w:p>
      <w:pPr>
        <w:pStyle w:val="5"/>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（一）提案单位应在产品批量前向公司提供至少一份该产品的样品，打样的产品应符合国家相关产品的标准规定。</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（二）提案单位需要根据最终通过的产品设计审核要求安排打样，并且要明确产品设计细节、工艺、材料等信息，估算整个打样生产所需的时间。在产品打样过程中提案单位应与执行单位积极对接。</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（三）提案单的最终量产产品应以最后确定的打样为准，如有发生提案单位最终量产产品与打样产品不符时，成都博物馆有权不予售卖，由此产生的一切损失由提案单位承担。</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（四）提案单位在产品打样时也需要提供产品包装的打样方案，方案包括包装的形式、产品基本信息、条形码、成都博物馆LOGO。</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打样产品通过后，提案单位可安排量产并填写审批单进行入库相关工作，同时需按照审批单上指定的销售区域进行销售。打样产品未通过时，提案单位需要根据提出的相应修改意见进行重新打样，直至打样通过。</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五、产品质量标准</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（一）产品的质量标准需符合国家相关产品的标准规定国家标准，产品不得生产、销售不符合保障人体健康，人身、财产安全的国家标准、行业标准的产品的；</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（二）产品不得在量产产品中掺杂、掺假，以假充真，以次充好，或者以不合格产品冒充合格产品的；</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（三）产品不得生产国家明令淘汰的产品、销售国家明令淘汰并停止销售的产品的；</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（四）产品不得使用不符合法律规定的产品标识，保证产品包装的完好性，无开缝、破包、破桶、撒漏、脏污、灰尘、湿痕、物料附着、严重折皱等情况，包装上的文字清晰、标识、批次印签或喷码完善清楚。</w:t>
      </w:r>
    </w:p>
    <w:p>
      <w:pPr>
        <w:tabs>
          <w:tab w:val="left" w:pos="840"/>
        </w:tabs>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（五）提案单位提出的产品如有任何质量问题，提案单位必须承担一切相关法律责任和经济赔偿责任，并保护成都博物馆免于承担责任。</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六、产品上架审批流程</w:t>
      </w:r>
    </w:p>
    <w:p>
      <w:pPr>
        <w:pStyle w:val="2"/>
        <w:spacing w:after="0"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（一）提案单位应按照产品通过文创产品评审小组审核并完成打样审核后，由生产单位填写《文创产品审批单》并完成签批。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设计总监审核内容：上新产品是否具有创新性、艺术性、功能性和系列延续性，是否符合成都博物馆文化定位、符合大众审美、上新产品基本信息是否完整产品的信息包括产品信息包括（产品名称、产品分类、产品尺寸、产品设计图、产品包装图、产品材质等）；</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（三）运营总监审核内容：上新产品是否符合现有的市场的定位和产品的定价、产品是否线上同步更新、上新产品在哪些文创区进行售卖；</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（四）总经理审核内容：上新产品的整体把控，包括（产品的设计、产品销售的方式、产品的品质）</w:t>
      </w:r>
    </w:p>
    <w:p>
      <w:pPr>
        <w:pStyle w:val="2"/>
        <w:spacing w:after="0"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七、产品陈列标准</w:t>
      </w:r>
    </w:p>
    <w:p>
      <w:pPr>
        <w:pStyle w:val="2"/>
        <w:spacing w:after="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（一）提案单位完成《文创产品审批单》后，配合库管进行产品入库后由库管统一发往指定区域。提案单位应各个区域负责人对产品进行基本的陈列后，再由设计总监对陈列进行统一的视觉把控。</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（二）提案单位如果需要在馆内销售的产品宣传资料（包括宣传的形式）需要提供给设计部进行审核。</w:t>
      </w:r>
    </w:p>
    <w:p>
      <w:pPr>
        <w:pStyle w:val="2"/>
        <w:spacing w:after="0" w:line="580" w:lineRule="exact"/>
        <w:ind w:firstLine="640" w:firstLineChars="200"/>
        <w:rPr>
          <w:rFonts w:ascii="方正仿宋_GBK" w:hAnsi="方正仿宋_GBK" w:eastAsia="方正仿宋_GBK" w:cs="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汉仪中宋简">
    <w:panose1 w:val="02010609000101010101"/>
    <w:charset w:val="86"/>
    <w:family w:val="modern"/>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9A3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360" w:lineRule="auto"/>
    </w:pPr>
    <w:rPr>
      <w:rFonts w:ascii="Times New Roman" w:hAnsi="Times New Roma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2021-11-08T08:06:40Z</dcterms:created>
  <dc:creator>Lenovo</dc:creator>
  <cp:lastModifiedBy>Lenovo</cp:lastModifiedBy>
  <dcterms:modified xsi:type="dcterms:W3CDTF">2021-11-08T08:06:44Z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8613A895A1C34156B4A9B6D070F203D2</vt:lpwstr>
  </property>
</Properties>
</file>